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73" w:rsidRPr="00570F39" w:rsidRDefault="00570F39" w:rsidP="00D872B4">
      <w:pPr>
        <w:spacing w:after="0"/>
        <w:rPr>
          <w:sz w:val="28"/>
          <w:szCs w:val="28"/>
        </w:rPr>
      </w:pPr>
      <w:r w:rsidRPr="00087559">
        <w:rPr>
          <w:rFonts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-542925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D872B4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Coal and Crime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-42.75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h6Rqe4AAA&#10;AAs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D872B4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Coal and Crime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  <w:r w:rsidR="00D872B4">
        <w:rPr>
          <w:sz w:val="28"/>
          <w:szCs w:val="28"/>
        </w:rPr>
        <w:t xml:space="preserve">In 1829 an eleven year old girl was tried and sentenced at Shire Hall for stealing 3 pieces of coal.  </w:t>
      </w:r>
      <w:r w:rsidR="00431873">
        <w:rPr>
          <w:sz w:val="28"/>
          <w:szCs w:val="28"/>
        </w:rPr>
        <w:t xml:space="preserve">Who was this girl?  </w:t>
      </w:r>
      <w:r w:rsidR="00D872B4">
        <w:rPr>
          <w:sz w:val="28"/>
          <w:szCs w:val="28"/>
        </w:rPr>
        <w:t xml:space="preserve">Did she commit the crime?  Why would she steal coal?  What was her punishment?  The answers to all </w:t>
      </w:r>
      <w:r w:rsidR="00431873">
        <w:rPr>
          <w:sz w:val="28"/>
          <w:szCs w:val="28"/>
        </w:rPr>
        <w:t xml:space="preserve">these questions and more are </w:t>
      </w:r>
      <w:r w:rsidR="00D872B4">
        <w:rPr>
          <w:sz w:val="28"/>
          <w:szCs w:val="28"/>
        </w:rPr>
        <w:t xml:space="preserve">explored in this hands-on </w:t>
      </w:r>
      <w:r w:rsidR="00431873">
        <w:rPr>
          <w:sz w:val="28"/>
          <w:szCs w:val="28"/>
        </w:rPr>
        <w:t xml:space="preserve">historical </w:t>
      </w:r>
      <w:r w:rsidR="00D872B4">
        <w:rPr>
          <w:sz w:val="28"/>
          <w:szCs w:val="28"/>
        </w:rPr>
        <w:t xml:space="preserve">courtroom </w:t>
      </w:r>
      <w:r w:rsidR="00431873">
        <w:rPr>
          <w:sz w:val="28"/>
          <w:szCs w:val="28"/>
        </w:rPr>
        <w:t>drama.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13360">
        <w:rPr>
          <w:sz w:val="28"/>
          <w:szCs w:val="28"/>
        </w:rPr>
        <w:t>Shire Hall, Monmouth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="00D872B4">
        <w:rPr>
          <w:sz w:val="28"/>
          <w:szCs w:val="28"/>
        </w:rPr>
        <w:tab/>
        <w:t>KS2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40640</wp:posOffset>
                </wp:positionV>
                <wp:extent cx="6019800" cy="2000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0002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6A51FC" w:rsidRDefault="00431873" w:rsidP="00FB45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Investigate a range of period household objects that all rely upon coal</w:t>
                            </w:r>
                          </w:p>
                          <w:p w:rsidR="00FB45EE" w:rsidRPr="00FB45EE" w:rsidRDefault="00431873" w:rsidP="00FB45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Explore </w:t>
                            </w:r>
                            <w:r w:rsidR="00D65C2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primary source material relating to Monmouth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c.1829</w:t>
                            </w:r>
                          </w:p>
                          <w:p w:rsidR="00FA5D47" w:rsidRDefault="00D65C29" w:rsidP="00E34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="0043187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documentary evide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nce to prepare the ‘Coal and Crime’ case for trial</w:t>
                            </w:r>
                          </w:p>
                          <w:p w:rsidR="00FA5D47" w:rsidRDefault="00431873" w:rsidP="00D27A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Take on a range of parts (accused, lawyers, jury etc.) and e</w:t>
                            </w:r>
                            <w:r w:rsidR="00FB45E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="00D65C2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act the trial </w:t>
                            </w:r>
                            <w:r w:rsidR="00D27A0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D65C2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our period</w:t>
                            </w:r>
                            <w:r w:rsidR="00FB45E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5C2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courtroom</w:t>
                            </w:r>
                          </w:p>
                          <w:p w:rsidR="00D65C29" w:rsidRDefault="00D65C29" w:rsidP="00D27A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Use primary source material to discover the real outcome of the trial</w:t>
                            </w:r>
                          </w:p>
                          <w:p w:rsidR="00D27A0D" w:rsidRPr="00D65C29" w:rsidRDefault="00D27A0D" w:rsidP="00D65C29">
                            <w:pPr>
                              <w:ind w:left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A5D47" w:rsidRPr="000E4005" w:rsidRDefault="00FA5D47" w:rsidP="000E400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Pr="0053198C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.25pt;margin-top:3.2pt;width:474pt;height:15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6A51FC" w:rsidRDefault="00431873" w:rsidP="00FB45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Investigate a range of period household objects that all rely upon coal</w:t>
                      </w:r>
                    </w:p>
                    <w:p w:rsidR="00FB45EE" w:rsidRPr="00FB45EE" w:rsidRDefault="00431873" w:rsidP="00FB45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Explore </w:t>
                      </w:r>
                      <w:r w:rsidR="00D65C2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primary source material relating to Monmouth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c.1829</w:t>
                      </w:r>
                    </w:p>
                    <w:p w:rsidR="00FA5D47" w:rsidRDefault="00D65C29" w:rsidP="00E34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Use </w:t>
                      </w:r>
                      <w:r w:rsidR="00431873">
                        <w:rPr>
                          <w:color w:val="FFFFFF" w:themeColor="background1"/>
                          <w:sz w:val="28"/>
                          <w:szCs w:val="28"/>
                        </w:rPr>
                        <w:t>documentary evide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nce to prepare the ‘Coal and Crime’ case for trial</w:t>
                      </w:r>
                    </w:p>
                    <w:p w:rsidR="00FA5D47" w:rsidRDefault="00431873" w:rsidP="00D27A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Take on a range of parts (accused, lawyers, jury etc.) and e</w:t>
                      </w:r>
                      <w:r w:rsidR="00FB45EE">
                        <w:rPr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 w:rsidR="00D65C2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act the trial </w:t>
                      </w:r>
                      <w:r w:rsidR="00D27A0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 </w:t>
                      </w:r>
                      <w:r w:rsidR="00D65C29">
                        <w:rPr>
                          <w:color w:val="FFFFFF" w:themeColor="background1"/>
                          <w:sz w:val="28"/>
                          <w:szCs w:val="28"/>
                        </w:rPr>
                        <w:t>our period</w:t>
                      </w:r>
                      <w:r w:rsidR="00FB45E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65C29">
                        <w:rPr>
                          <w:color w:val="FFFFFF" w:themeColor="background1"/>
                          <w:sz w:val="28"/>
                          <w:szCs w:val="28"/>
                        </w:rPr>
                        <w:t>courtroom</w:t>
                      </w:r>
                    </w:p>
                    <w:p w:rsidR="00D65C29" w:rsidRDefault="00D65C29" w:rsidP="00D27A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Use primary source material to discover the real outcome of the trial</w:t>
                      </w:r>
                    </w:p>
                    <w:p w:rsidR="00D27A0D" w:rsidRPr="00D65C29" w:rsidRDefault="00D27A0D" w:rsidP="00D65C29">
                      <w:pPr>
                        <w:ind w:left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A5D47" w:rsidRPr="000E4005" w:rsidRDefault="00FA5D47" w:rsidP="000E400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Pr="0053198C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D65C29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6038850" cy="2867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86702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041635" w:rsidRDefault="00703777" w:rsidP="00D133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Interpret </w:t>
                            </w:r>
                            <w:r w:rsidR="00880B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critically analyse </w:t>
                            </w:r>
                            <w:r w:rsidR="00FA5D47"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primary sources </w:t>
                            </w:r>
                            <w:r w:rsidR="00D27A0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an</w:t>
                            </w:r>
                            <w:r w:rsidR="00880B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 other evidence</w:t>
                            </w:r>
                          </w:p>
                          <w:p w:rsidR="00D27A0D" w:rsidRDefault="00D27A0D" w:rsidP="00D133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questioning skills</w:t>
                            </w:r>
                          </w:p>
                          <w:p w:rsidR="00D27A0D" w:rsidRPr="00D13360" w:rsidRDefault="00D27A0D" w:rsidP="00D133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and employ speaking and listening skills</w:t>
                            </w:r>
                          </w:p>
                          <w:p w:rsidR="00BA24A4" w:rsidRDefault="00D65C29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</w:t>
                            </w:r>
                            <w:r w:rsidR="004C60D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 and understanding of a Welsh county town in the 19</w:t>
                            </w:r>
                            <w:r w:rsidR="004C60D6" w:rsidRPr="004C60D6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C60D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century</w:t>
                            </w:r>
                          </w:p>
                          <w:p w:rsidR="004C60D6" w:rsidRPr="0053198C" w:rsidRDefault="004C60D6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understanding of 19</w:t>
                            </w:r>
                            <w:r w:rsidRPr="004C60D6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century attitudes towards poverty and petty crime 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53198C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D13360" w:rsidRPr="000E4005" w:rsidRDefault="00D13360" w:rsidP="000E4005">
                            <w:pPr>
                              <w:ind w:left="36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.75pt;margin-top:9.3pt;width:475.5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041635" w:rsidRDefault="00703777" w:rsidP="00D133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Interpret </w:t>
                      </w:r>
                      <w:r w:rsidR="00880BE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and critically analyse </w:t>
                      </w:r>
                      <w:r w:rsidR="00FA5D47"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primary sources </w:t>
                      </w:r>
                      <w:r w:rsidR="00D27A0D">
                        <w:rPr>
                          <w:color w:val="FFFFFF" w:themeColor="background1"/>
                          <w:sz w:val="28"/>
                          <w:szCs w:val="28"/>
                        </w:rPr>
                        <w:t>an</w:t>
                      </w:r>
                      <w:r w:rsidR="00880BEA">
                        <w:rPr>
                          <w:color w:val="FFFFFF" w:themeColor="background1"/>
                          <w:sz w:val="28"/>
                          <w:szCs w:val="28"/>
                        </w:rPr>
                        <w:t>d other evidence</w:t>
                      </w:r>
                    </w:p>
                    <w:p w:rsidR="00D27A0D" w:rsidRDefault="00D27A0D" w:rsidP="00D133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Develop questioning skills</w:t>
                      </w:r>
                    </w:p>
                    <w:p w:rsidR="00D27A0D" w:rsidRPr="00D13360" w:rsidRDefault="00D27A0D" w:rsidP="00D133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Develop and employ speaking and listening skills</w:t>
                      </w:r>
                    </w:p>
                    <w:p w:rsidR="00BA24A4" w:rsidRDefault="00D65C29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Increase knowledg</w:t>
                      </w:r>
                      <w:r w:rsidR="004C60D6">
                        <w:rPr>
                          <w:color w:val="FFFFFF" w:themeColor="background1"/>
                          <w:sz w:val="28"/>
                          <w:szCs w:val="28"/>
                        </w:rPr>
                        <w:t>e and understanding of a Welsh county town in the 19</w:t>
                      </w:r>
                      <w:r w:rsidR="004C60D6" w:rsidRPr="004C60D6">
                        <w:rPr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C60D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century</w:t>
                      </w:r>
                    </w:p>
                    <w:p w:rsidR="004C60D6" w:rsidRPr="0053198C" w:rsidRDefault="004C60D6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Develop understanding of 19</w:t>
                      </w:r>
                      <w:r w:rsidRPr="004C60D6">
                        <w:rPr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century attitudes towards poverty and petty crime 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53198C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D13360" w:rsidRPr="000E4005" w:rsidRDefault="00D13360" w:rsidP="000E4005">
                      <w:pPr>
                        <w:ind w:left="36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FA5D47" w:rsidRDefault="00FA5D47" w:rsidP="006B4BD7">
      <w:pPr>
        <w:spacing w:after="0"/>
      </w:pPr>
    </w:p>
    <w:p w:rsidR="00BA24A4" w:rsidRDefault="00BA24A4" w:rsidP="00BA24A4">
      <w:pPr>
        <w:rPr>
          <w:b/>
        </w:rPr>
      </w:pPr>
    </w:p>
    <w:p w:rsidR="00880BEA" w:rsidRDefault="00880BEA" w:rsidP="00D13360">
      <w:pPr>
        <w:spacing w:after="0"/>
        <w:rPr>
          <w:b/>
          <w:noProof/>
          <w:sz w:val="28"/>
          <w:szCs w:val="28"/>
          <w:lang w:eastAsia="en-GB"/>
        </w:rPr>
      </w:pPr>
    </w:p>
    <w:p w:rsidR="00880BEA" w:rsidRDefault="00880BEA" w:rsidP="00D13360">
      <w:pPr>
        <w:spacing w:after="0"/>
        <w:rPr>
          <w:b/>
          <w:noProof/>
          <w:sz w:val="28"/>
          <w:szCs w:val="28"/>
          <w:lang w:eastAsia="en-GB"/>
        </w:rPr>
      </w:pPr>
    </w:p>
    <w:p w:rsidR="00880BEA" w:rsidRPr="00880BEA" w:rsidRDefault="00880BEA" w:rsidP="00D13360">
      <w:pPr>
        <w:spacing w:after="0"/>
        <w:rPr>
          <w:b/>
          <w:noProof/>
          <w:sz w:val="16"/>
          <w:szCs w:val="16"/>
          <w:lang w:eastAsia="en-GB"/>
        </w:rPr>
      </w:pPr>
    </w:p>
    <w:p w:rsidR="00FA5D47" w:rsidRPr="00D13360" w:rsidRDefault="00C45FB6" w:rsidP="00D13360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9562C6" w:rsidRDefault="009562C6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Expressive Arts</w:t>
      </w:r>
    </w:p>
    <w:p w:rsidR="00D27A0D" w:rsidRDefault="00D27A0D" w:rsidP="00D65C29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570F39" w:rsidRDefault="00570F39" w:rsidP="00570F39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4C60D6" w:rsidRDefault="004C60D6" w:rsidP="00570F39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4C60D6" w:rsidRPr="00880BEA" w:rsidRDefault="004C60D6" w:rsidP="00570F39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BA24A4" w:rsidRPr="00BA24A4" w:rsidRDefault="00BA24A4" w:rsidP="00BA24A4">
      <w:pPr>
        <w:rPr>
          <w:b/>
          <w:sz w:val="28"/>
          <w:szCs w:val="28"/>
        </w:rPr>
      </w:pPr>
      <w:r w:rsidRPr="00BA24A4">
        <w:rPr>
          <w:b/>
          <w:sz w:val="28"/>
          <w:szCs w:val="28"/>
        </w:rPr>
        <w:t xml:space="preserve">How this </w:t>
      </w:r>
      <w:r w:rsidR="00703777">
        <w:rPr>
          <w:b/>
          <w:sz w:val="28"/>
          <w:szCs w:val="28"/>
        </w:rPr>
        <w:t xml:space="preserve">workshop supports the Four </w:t>
      </w:r>
      <w:r w:rsidRPr="00BA24A4">
        <w:rPr>
          <w:b/>
          <w:sz w:val="28"/>
          <w:szCs w:val="28"/>
        </w:rPr>
        <w:t>Purposes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A24A4" w:rsidTr="0053198C">
        <w:tc>
          <w:tcPr>
            <w:tcW w:w="4673" w:type="dxa"/>
            <w:shd w:val="clear" w:color="auto" w:fill="33CCCC"/>
          </w:tcPr>
          <w:p w:rsidR="00BA24A4" w:rsidRPr="0053198C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Ambitious, capable learners, ready to learn throughout their lives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E2046B" w:rsidRPr="0053198C" w:rsidRDefault="00E2046B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  <w:p w:rsidR="00BA24A4" w:rsidRPr="00703777" w:rsidRDefault="00BA24A4" w:rsidP="00703777">
            <w:p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  <w:tc>
          <w:tcPr>
            <w:tcW w:w="4820" w:type="dxa"/>
            <w:shd w:val="clear" w:color="auto" w:fill="66FF99"/>
          </w:tcPr>
          <w:p w:rsidR="00BA24A4" w:rsidRPr="0053198C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Enterprising, creative contributors, ready to play a full part in life and work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E2046B" w:rsidRDefault="00BA24A4" w:rsidP="00E2046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</w:t>
            </w:r>
          </w:p>
          <w:p w:rsidR="00BA24A4" w:rsidRPr="0053198C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53198C" w:rsidRDefault="00BA24A4" w:rsidP="00E2046B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  <w:tr w:rsidR="00BA24A4" w:rsidRPr="00BA24A4" w:rsidTr="0053198C">
        <w:tc>
          <w:tcPr>
            <w:tcW w:w="4673" w:type="dxa"/>
            <w:shd w:val="clear" w:color="auto" w:fill="66FF99"/>
          </w:tcPr>
          <w:p w:rsidR="00BA24A4" w:rsidRPr="0053198C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Ethical, informed citizens of Wales and the world</w:t>
            </w:r>
          </w:p>
          <w:p w:rsidR="00FA5D47" w:rsidRPr="00703777" w:rsidRDefault="00BA24A4" w:rsidP="0070377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703777" w:rsidRPr="00703777" w:rsidRDefault="00BA24A4" w:rsidP="0070377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</w:t>
            </w:r>
            <w:r w:rsidR="0070377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, society and the world, now and in the past.</w:t>
            </w:r>
          </w:p>
        </w:tc>
        <w:tc>
          <w:tcPr>
            <w:tcW w:w="4820" w:type="dxa"/>
            <w:shd w:val="clear" w:color="auto" w:fill="33CCCC"/>
          </w:tcPr>
          <w:p w:rsidR="00BA24A4" w:rsidRPr="0053198C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Healthy, confident individuals, ready to lead fulfilling lives as valued members of society</w:t>
            </w:r>
          </w:p>
          <w:p w:rsidR="00880BEA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3198C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 by developing conﬁdence, resilience and empathy</w:t>
            </w:r>
          </w:p>
          <w:p w:rsidR="00BA24A4" w:rsidRPr="00880BEA" w:rsidRDefault="00880BEA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880BEA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have the confidence to participate in performance</w:t>
            </w:r>
          </w:p>
          <w:p w:rsidR="00880BEA" w:rsidRPr="0053198C" w:rsidRDefault="00880BEA" w:rsidP="00880BEA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  <w:p w:rsidR="00FA5D47" w:rsidRPr="0053198C" w:rsidRDefault="00FA5D47" w:rsidP="000E4005">
            <w:pPr>
              <w:pStyle w:val="ListParagraph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  <w:p w:rsidR="00BA24A4" w:rsidRPr="0053198C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</w:tbl>
    <w:p w:rsidR="009B372C" w:rsidRDefault="009B372C" w:rsidP="009B372C">
      <w:pPr>
        <w:spacing w:after="0"/>
        <w:rPr>
          <w:b/>
          <w:noProof/>
          <w:lang w:eastAsia="en-GB"/>
        </w:rPr>
      </w:pPr>
    </w:p>
    <w:p w:rsidR="000E4005" w:rsidRDefault="00B94D06" w:rsidP="009B372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Matters statements.</w:t>
      </w:r>
    </w:p>
    <w:p w:rsidR="00B94D06" w:rsidRDefault="00B94D06" w:rsidP="009B372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Humanities</w:t>
      </w:r>
    </w:p>
    <w:p w:rsid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 w:rsidRPr="000E4005">
        <w:rPr>
          <w:noProof/>
          <w:sz w:val="28"/>
          <w:szCs w:val="28"/>
          <w:lang w:eastAsia="en-GB"/>
        </w:rPr>
        <w:t>Developing an enquiring mind enables learners to to explore and investigate the world, past, present and future, for themselves.</w:t>
      </w:r>
    </w:p>
    <w:p w:rsid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Events and human experiences are complex, and are percieved, interpreted and represented in different ways.</w:t>
      </w:r>
    </w:p>
    <w:p w:rsidR="000E4005" w:rsidRDefault="000E4005" w:rsidP="000E4005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Human societies are complex and diverse, and shaped by human actions and beliefs.</w:t>
      </w:r>
    </w:p>
    <w:p w:rsidR="00880BEA" w:rsidRPr="009562C6" w:rsidRDefault="00D27A0D" w:rsidP="00880BEA">
      <w:pPr>
        <w:pStyle w:val="ListParagraph"/>
        <w:numPr>
          <w:ilvl w:val="0"/>
          <w:numId w:val="9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Informed, self-aware citizens engage with the challenges and opportunities that face humanity, and are able to take considered, ethical and sustainable action.</w:t>
      </w:r>
      <w:bookmarkStart w:id="0" w:name="_GoBack"/>
      <w:bookmarkEnd w:id="0"/>
    </w:p>
    <w:p w:rsidR="00880BEA" w:rsidRPr="00880BEA" w:rsidRDefault="00880BEA" w:rsidP="00880BEA">
      <w:pPr>
        <w:spacing w:after="0"/>
        <w:rPr>
          <w:b/>
          <w:noProof/>
          <w:sz w:val="28"/>
          <w:szCs w:val="28"/>
          <w:lang w:eastAsia="en-GB"/>
        </w:rPr>
      </w:pPr>
      <w:r w:rsidRPr="00880BEA">
        <w:rPr>
          <w:b/>
          <w:noProof/>
          <w:sz w:val="28"/>
          <w:szCs w:val="28"/>
          <w:lang w:eastAsia="en-GB"/>
        </w:rPr>
        <w:lastRenderedPageBreak/>
        <w:t>Expressive Arts</w:t>
      </w:r>
    </w:p>
    <w:p w:rsidR="00880BEA" w:rsidRPr="00880BEA" w:rsidRDefault="00880BEA" w:rsidP="00880BEA">
      <w:pPr>
        <w:pStyle w:val="ListParagraph"/>
        <w:numPr>
          <w:ilvl w:val="0"/>
          <w:numId w:val="10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Creative work combines knowledge and skills using the sense</w:t>
      </w:r>
      <w:r w:rsidR="009562C6">
        <w:rPr>
          <w:noProof/>
          <w:sz w:val="28"/>
          <w:szCs w:val="28"/>
          <w:lang w:eastAsia="en-GB"/>
        </w:rPr>
        <w:t>s</w:t>
      </w:r>
      <w:r>
        <w:rPr>
          <w:noProof/>
          <w:sz w:val="28"/>
          <w:szCs w:val="28"/>
          <w:lang w:eastAsia="en-GB"/>
        </w:rPr>
        <w:t>, inspiration and imagination.</w:t>
      </w:r>
    </w:p>
    <w:p w:rsidR="00D27A0D" w:rsidRPr="00D27A0D" w:rsidRDefault="00D27A0D" w:rsidP="009B372C">
      <w:pPr>
        <w:spacing w:after="0"/>
        <w:rPr>
          <w:b/>
          <w:noProof/>
          <w:sz w:val="28"/>
          <w:szCs w:val="28"/>
          <w:lang w:eastAsia="en-GB"/>
        </w:rPr>
      </w:pPr>
    </w:p>
    <w:p w:rsidR="0053198C" w:rsidRPr="00605DCD" w:rsidRDefault="0053198C" w:rsidP="009B372C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Pre-visit requirements:</w:t>
      </w:r>
      <w:r>
        <w:rPr>
          <w:noProof/>
          <w:sz w:val="28"/>
          <w:szCs w:val="28"/>
          <w:lang w:eastAsia="en-GB"/>
        </w:rPr>
        <w:t xml:space="preserve">  </w:t>
      </w:r>
      <w:r w:rsidR="00B94D06">
        <w:rPr>
          <w:noProof/>
          <w:sz w:val="28"/>
          <w:szCs w:val="28"/>
          <w:lang w:eastAsia="en-GB"/>
        </w:rPr>
        <w:t>Please divide your class into four groups.</w:t>
      </w:r>
    </w:p>
    <w:sectPr w:rsidR="0053198C" w:rsidRPr="00605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0C92"/>
    <w:multiLevelType w:val="hybridMultilevel"/>
    <w:tmpl w:val="E08A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87559"/>
    <w:rsid w:val="000B2C48"/>
    <w:rsid w:val="000E4005"/>
    <w:rsid w:val="00166FB2"/>
    <w:rsid w:val="001E1EFB"/>
    <w:rsid w:val="00211F38"/>
    <w:rsid w:val="0023583A"/>
    <w:rsid w:val="003731F1"/>
    <w:rsid w:val="00417AF5"/>
    <w:rsid w:val="00431873"/>
    <w:rsid w:val="00456D7B"/>
    <w:rsid w:val="004C60D6"/>
    <w:rsid w:val="0053198C"/>
    <w:rsid w:val="005374FD"/>
    <w:rsid w:val="00570F39"/>
    <w:rsid w:val="005E4F53"/>
    <w:rsid w:val="00605DCD"/>
    <w:rsid w:val="006A51FC"/>
    <w:rsid w:val="006B4BD7"/>
    <w:rsid w:val="00703777"/>
    <w:rsid w:val="00880BEA"/>
    <w:rsid w:val="009562C6"/>
    <w:rsid w:val="009B372C"/>
    <w:rsid w:val="00B07FC2"/>
    <w:rsid w:val="00B2342F"/>
    <w:rsid w:val="00B5075D"/>
    <w:rsid w:val="00B94D06"/>
    <w:rsid w:val="00BA24A4"/>
    <w:rsid w:val="00C45FB6"/>
    <w:rsid w:val="00C618B7"/>
    <w:rsid w:val="00D01051"/>
    <w:rsid w:val="00D13360"/>
    <w:rsid w:val="00D27A0D"/>
    <w:rsid w:val="00D50129"/>
    <w:rsid w:val="00D65C29"/>
    <w:rsid w:val="00D86E1D"/>
    <w:rsid w:val="00D872B4"/>
    <w:rsid w:val="00DC5FB6"/>
    <w:rsid w:val="00DF5BCA"/>
    <w:rsid w:val="00E2046B"/>
    <w:rsid w:val="00E343CF"/>
    <w:rsid w:val="00E62D7E"/>
    <w:rsid w:val="00EB7DDC"/>
    <w:rsid w:val="00EE58A9"/>
    <w:rsid w:val="00FA5D47"/>
    <w:rsid w:val="00F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1B59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3</cp:revision>
  <cp:lastPrinted>2019-12-10T12:04:00Z</cp:lastPrinted>
  <dcterms:created xsi:type="dcterms:W3CDTF">2019-12-09T16:19:00Z</dcterms:created>
  <dcterms:modified xsi:type="dcterms:W3CDTF">2019-12-10T12:04:00Z</dcterms:modified>
</cp:coreProperties>
</file>